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Роль с</w:t>
      </w:r>
      <w:r>
        <w:rPr>
          <w:rFonts w:ascii="Times New Roman" w:hAnsi="Times New Roman" w:cs="Times New Roman"/>
          <w:b/>
          <w:sz w:val="28"/>
          <w:szCs w:val="24"/>
        </w:rPr>
        <w:t xml:space="preserve">кандинавской ходьбы </w:t>
      </w:r>
      <w:r>
        <w:rPr>
          <w:rFonts w:ascii="Times New Roman" w:hAnsi="Times New Roman" w:cs="Times New Roman"/>
          <w:b/>
          <w:sz w:val="28"/>
          <w:szCs w:val="24"/>
        </w:rPr>
        <w:t xml:space="preserve">в улучшении качества жизни </w:t>
      </w:r>
      <w:r>
        <w:rPr>
          <w:rFonts w:ascii="Times New Roman" w:hAnsi="Times New Roman" w:cs="Times New Roman"/>
          <w:b/>
          <w:sz w:val="28"/>
          <w:szCs w:val="24"/>
        </w:rPr>
        <w:t xml:space="preserve">у пациентов с </w:t>
      </w:r>
      <w:r>
        <w:rPr>
          <w:rFonts w:ascii="Times New Roman" w:hAnsi="Times New Roman" w:cs="Times New Roman"/>
          <w:b/>
          <w:sz w:val="28"/>
          <w:szCs w:val="24"/>
        </w:rPr>
        <w:t xml:space="preserve">заболеваниями суставов</w:t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pStyle w:val="688"/>
        <w:jc w:val="both"/>
        <w:spacing w:before="0" w:beforeAutospacing="0" w:after="0" w:afterAutospacing="0"/>
        <w:shd w:val="clear" w:color="auto" w:fill="ffffff"/>
        <w:rPr>
          <w:sz w:val="32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hd w:val="clear" w:color="auto" w:fill="ffffff"/>
        </w:rPr>
        <w:t xml:space="preserve">Сегодня все большую популярность завоевывает такой вид физической активности, как скандинавская (либо нордическая) ходьба, в основе которой лежит определенная техника передвижения с использованием палок, напоминающих лыжные.</w:t>
      </w:r>
      <w:r>
        <w:rPr>
          <w:rFonts w:eastAsia="Trebuchet MS"/>
          <w:bCs/>
          <w:sz w:val="32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Она</w:t>
      </w:r>
      <w:r>
        <w:rPr>
          <w:sz w:val="28"/>
          <w:szCs w:val="28"/>
        </w:rPr>
        <w:t xml:space="preserve"> обладает множеством достоинств (доступность, простота,</w:t>
      </w:r>
      <w:r>
        <w:rPr>
          <w:sz w:val="28"/>
          <w:szCs w:val="28"/>
        </w:rPr>
        <w:t xml:space="preserve"> любой уровень физической подготовки).  В отличие от обычной ходьбы при занятиях скандинавской ходьбой за счет работы рук, плечевого пояса, участия дополнительных крупных мышечных групп в работу включены 90% мышц тела, что способствует улучшению состояния </w:t>
      </w:r>
      <w:r>
        <w:rPr>
          <w:sz w:val="28"/>
          <w:szCs w:val="28"/>
        </w:rPr>
        <w:t xml:space="preserve">сердечно-сосудистой</w:t>
      </w:r>
      <w:r>
        <w:rPr>
          <w:sz w:val="28"/>
          <w:szCs w:val="28"/>
        </w:rPr>
        <w:t xml:space="preserve"> и дыхательной систем, работы центральной нервной системы, укреплению мышечной ткани, нормализации обмена веществ. </w:t>
      </w:r>
      <w:r>
        <w:rPr>
          <w:sz w:val="28"/>
          <w:szCs w:val="28"/>
        </w:rPr>
        <w:t xml:space="preserve">Для ходьбы используются специальные палки, которые значительно короче </w:t>
      </w:r>
      <w:r>
        <w:rPr>
          <w:sz w:val="28"/>
          <w:szCs w:val="28"/>
        </w:rPr>
        <w:t xml:space="preserve">классических</w:t>
      </w:r>
      <w:r>
        <w:rPr>
          <w:sz w:val="28"/>
          <w:szCs w:val="28"/>
        </w:rPr>
        <w:t xml:space="preserve"> лыжных.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 подобрать длину палок под себя, так как слишком короткие палки могут дать чрезмерную нагрузку на колени, </w:t>
      </w:r>
      <w:hyperlink r:id="rId9" w:tooltip="Щиколотка" w:history="1">
        <w:r>
          <w:rPr>
            <w:rStyle w:val="686"/>
            <w:color w:val="auto"/>
            <w:sz w:val="28"/>
            <w:szCs w:val="28"/>
          </w:rPr>
          <w:t xml:space="preserve">щиколотку</w:t>
        </w:r>
      </w:hyperlink>
      <w:r>
        <w:rPr>
          <w:sz w:val="28"/>
          <w:szCs w:val="28"/>
        </w:rPr>
        <w:t xml:space="preserve"> и спину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Существует 2 вида палок, стандартные фиксированной длины и телескопические (с несколькими выдвижными сегментами-коленьями).</w:t>
      </w:r>
      <w:r>
        <w:rPr>
          <w:sz w:val="28"/>
          <w:szCs w:val="28"/>
        </w:rPr>
        <w:t xml:space="preserve"> Отличительной особенностью палок для ходьбы является то, что в ручках закреплены ремешки, которые напоминают перчатки без пальцев. Это помогает отталкиваться, не сжимая ручку палки. В продаже встречаются так же палки под названием «темляк» (</w:t>
      </w:r>
      <w:r>
        <w:rPr>
          <w:i/>
          <w:iCs/>
          <w:sz w:val="28"/>
          <w:szCs w:val="28"/>
          <w:lang w:val="en"/>
        </w:rPr>
        <w:t xml:space="preserve">wrist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"/>
        </w:rPr>
        <w:t xml:space="preserve">strap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Палки поставляются со сменным резиновым наконечником, который используют на твёрдой поверхности. По льду, снегу, тропинкам используют твёрдосплавный шип на самой палке. </w:t>
      </w:r>
      <w:r>
        <w:rPr>
          <w:sz w:val="28"/>
          <w:shd w:val="clear" w:color="auto" w:fill="ffffff"/>
        </w:rPr>
        <w:t xml:space="preserve">Скандинавская ходьба для пенсионеров – один из немногих видов спорта, которым они могут спокойно заниматься без риска дл</w:t>
      </w:r>
      <w:r>
        <w:rPr>
          <w:sz w:val="28"/>
          <w:shd w:val="clear" w:color="auto" w:fill="ffffff"/>
        </w:rPr>
        <w:t xml:space="preserve">я здоровья. Заниматься скандинавской ходьбой полезно для дыхательной системы – доказано, что легкие тренируются, вентилируются. А это обеспечивает профилактику респираторных инфекций. Следствие из предыдущего пункта – насыщение крови кислородом. Молекулы О</w:t>
      </w:r>
      <w:r>
        <w:rPr>
          <w:sz w:val="28"/>
          <w:shd w:val="clear" w:color="auto" w:fill="ffffff"/>
        </w:rPr>
        <w:t xml:space="preserve">2</w:t>
      </w:r>
      <w:r>
        <w:rPr>
          <w:sz w:val="28"/>
          <w:shd w:val="clear" w:color="auto" w:fill="ffffff"/>
        </w:rPr>
        <w:t xml:space="preserve"> будут доставлены в каждую клетку организма. Достаточно 40–60 минут ходьбы в среднем темпе. Доказана (и это </w:t>
      </w:r>
      <w:r>
        <w:rPr>
          <w:sz w:val="28"/>
          <w:shd w:val="clear" w:color="auto" w:fill="ffffff"/>
        </w:rPr>
        <w:t xml:space="preserve">во всю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применяется сегодня) реабилитационная польза. Нордическая ходьба применяется в качестве реабилитации после переломов бедра, коленей, голени. Люди ходят с палками как с дополнительной опорой – а лучшая устойчивость и снижение нагрузки на срастающиеся кости.</w:t>
      </w:r>
      <w:r>
        <w:rPr>
          <w:sz w:val="32"/>
          <w:szCs w:val="28"/>
        </w:rPr>
      </w:r>
    </w:p>
    <w:p>
      <w:pPr>
        <w:pStyle w:val="698"/>
        <w:ind w:firstLine="0"/>
        <w:jc w:val="both"/>
        <w:spacing w:after="0" w:line="240" w:lineRule="auto"/>
        <w:shd w:val="clear" w:color="auto" w:fill="auto"/>
        <w:rPr>
          <w:sz w:val="36"/>
          <w:szCs w:val="28"/>
        </w:rPr>
      </w:pPr>
      <w:r>
        <w:rPr>
          <w:sz w:val="28"/>
          <w:szCs w:val="28"/>
        </w:rPr>
        <w:t xml:space="preserve">       В связи с этим актуальной задачей является изучение </w:t>
      </w:r>
      <w:r>
        <w:rPr>
          <w:sz w:val="28"/>
        </w:rPr>
        <w:t xml:space="preserve">влияни</w:t>
      </w:r>
      <w:r>
        <w:rPr>
          <w:sz w:val="28"/>
        </w:rPr>
        <w:t xml:space="preserve">я</w:t>
      </w:r>
      <w:r>
        <w:rPr>
          <w:sz w:val="28"/>
        </w:rPr>
        <w:t xml:space="preserve"> скандинавской ходьбы на проявления функциональной не</w:t>
      </w:r>
      <w:r>
        <w:rPr>
          <w:sz w:val="28"/>
        </w:rPr>
        <w:t xml:space="preserve">достаточности суставов у </w:t>
      </w:r>
      <w:r>
        <w:rPr>
          <w:sz w:val="28"/>
        </w:rPr>
        <w:t xml:space="preserve">па</w:t>
      </w:r>
      <w:r>
        <w:rPr>
          <w:sz w:val="28"/>
        </w:rPr>
        <w:t xml:space="preserve">циентов с болью в суставах.</w:t>
      </w:r>
      <w:r>
        <w:rPr>
          <w:sz w:val="36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бзор актуальной отечественной и зарубежной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библиографических базах (</w:t>
      </w:r>
      <w:hyperlink r:id="rId10" w:tooltip="http://www.elibrary.ru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www.elibrary.ru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https://pubmed.ncbi.nlm.nih.gov/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https://pubmed.ncbi.nlm.nih.gov/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объектов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лица. </w:t>
      </w:r>
      <w:r>
        <w:rPr>
          <w:rFonts w:ascii="Times New Roman" w:hAnsi="Times New Roman" w:cs="Times New Roman"/>
          <w:sz w:val="28"/>
          <w:szCs w:val="28"/>
        </w:rPr>
        <w:t xml:space="preserve">Предъявляющие жалобы на боли в суставах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НИР (цель, задачи, критерии включения в исследование, методы исследования)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исследования (сбор </w:t>
      </w:r>
      <w:r>
        <w:rPr>
          <w:rFonts w:ascii="Times New Roman" w:hAnsi="Times New Roman" w:cs="Times New Roman"/>
          <w:sz w:val="28"/>
          <w:szCs w:val="28"/>
        </w:rPr>
        <w:t xml:space="preserve">жалоб, анамнеза, измерение АД, пульса, ЧДД, определение объема движений и выраженности болевого синдрома по шкале ВАШ до и после скандинавской ходьбы</w:t>
      </w:r>
      <w:r>
        <w:rPr>
          <w:rFonts w:ascii="Times New Roman" w:hAnsi="Times New Roman" w:cs="Times New Roman"/>
          <w:sz w:val="36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сформулировать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полученным результатам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Статьи, материалы для подготовки: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87"/>
        <w:numPr>
          <w:ilvl w:val="0"/>
          <w:numId w:val="31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Линдберг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Скандинавская ходьба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джоггинг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болезней — СПб: Вектор, 2014. — С. 12. — </w:t>
      </w:r>
      <w:hyperlink r:id="rId12" w:tooltip="https://ru.wikipedia.org/wiki/%D0%A1%D0%BB%D1%83%D0%B6%D0%B5%D0%B1%D0%BD%D0%B0%D1%8F:%D0%98%D1%81%D1%82%D0%BE%D1%87%D0%BD%D0%B8%D0%BA%D0%B8_%D0%BA%D0%BD%D0%B8%D0%B3/9785968422309" w:history="1">
        <w:r>
          <w:rPr>
            <w:rStyle w:val="68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ISBN 978-5-9684-2230-9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31"/>
        </w:numPr>
        <w:ind w:left="360"/>
        <w:spacing w:before="0" w:beforeAutospacing="0" w:after="0" w:afterAutospacing="0"/>
        <w:shd w:val="clear" w:color="auto" w:fill="ffffff"/>
        <w:rPr>
          <w:rStyle w:val="691"/>
          <w:bCs/>
          <w:sz w:val="28"/>
          <w:szCs w:val="28"/>
        </w:rPr>
      </w:pPr>
      <w:r>
        <w:rPr>
          <w:rStyle w:val="691"/>
          <w:sz w:val="28"/>
          <w:szCs w:val="28"/>
          <w:shd w:val="clear" w:color="auto" w:fill="ffffff"/>
        </w:rPr>
        <w:t xml:space="preserve">Полетаева А. Скандинавская ходьба. Секреты известного тренера. - </w:t>
      </w:r>
      <w:r>
        <w:rPr>
          <w:rStyle w:val="691"/>
          <w:sz w:val="28"/>
          <w:szCs w:val="28"/>
          <w:shd w:val="clear" w:color="auto" w:fill="ffffff"/>
        </w:rPr>
        <w:t xml:space="preserve">Спб</w:t>
      </w:r>
      <w:r>
        <w:rPr>
          <w:rStyle w:val="691"/>
          <w:sz w:val="28"/>
          <w:szCs w:val="28"/>
          <w:shd w:val="clear" w:color="auto" w:fill="ffffff"/>
        </w:rPr>
        <w:t xml:space="preserve">.: Питер, 2015ю - 128 с.</w:t>
      </w:r>
      <w:r>
        <w:rPr>
          <w:rStyle w:val="691"/>
          <w:bCs/>
          <w:sz w:val="28"/>
          <w:szCs w:val="28"/>
        </w:rPr>
      </w:r>
    </w:p>
    <w:p>
      <w:pPr>
        <w:pStyle w:val="681"/>
        <w:numPr>
          <w:ilvl w:val="0"/>
          <w:numId w:val="31"/>
        </w:numPr>
        <w:ind w:left="360"/>
        <w:spacing w:before="0" w:beforeAutospacing="0" w:after="0" w:afterAutospacing="0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Лобастова М.А. </w:t>
      </w:r>
      <w:r>
        <w:rPr>
          <w:rStyle w:val="691"/>
          <w:sz w:val="28"/>
          <w:szCs w:val="28"/>
          <w:shd w:val="clear" w:color="auto" w:fill="ffffff"/>
        </w:rPr>
        <w:t xml:space="preserve">Скандинавская ходьба</w:t>
      </w:r>
      <w:r>
        <w:rPr>
          <w:b w:val="0"/>
          <w:sz w:val="28"/>
          <w:szCs w:val="28"/>
          <w:shd w:val="clear" w:color="auto" w:fill="ffffff"/>
        </w:rPr>
        <w:t xml:space="preserve">  как новая форма спортивно-оздоровительной направленности // Современные наукоемкие технологии. – 2022. – № 3. – С. 153-157;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URL: https://top-technologies.ru/ru/article/view?id=39090 (дата обращения: 15.09.2023).</w:t>
      </w:r>
      <w:r>
        <w:rPr>
          <w:b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993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rebuchet MS">
    <w:panose1 w:val="020B0603020202020204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 Unicode M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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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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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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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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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9">
    <w:multiLevelType w:val="hybridMultilevel"/>
    <w:numStyleLink w:val="69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14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styleLink w:val="695"/>
    <w:lvl w:ilvl="0">
      <w:start w:val="1"/>
      <w:numFmt w:val="decimal"/>
      <w:pStyle w:val="695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0"/>
  </w:num>
  <w:num w:numId="5">
    <w:abstractNumId w:val="13"/>
  </w:num>
  <w:num w:numId="6">
    <w:abstractNumId w:val="2"/>
  </w:num>
  <w:num w:numId="7">
    <w:abstractNumId w:val="2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5"/>
  </w:num>
  <w:num w:numId="12">
    <w:abstractNumId w:val="23"/>
  </w:num>
  <w:num w:numId="13">
    <w:abstractNumId w:val="15"/>
  </w:num>
  <w:num w:numId="14">
    <w:abstractNumId w:val="22"/>
  </w:num>
  <w:num w:numId="15">
    <w:abstractNumId w:val="11"/>
  </w:num>
  <w:num w:numId="16">
    <w:abstractNumId w:val="6"/>
  </w:num>
  <w:num w:numId="17">
    <w:abstractNumId w:val="21"/>
  </w:num>
  <w:num w:numId="18">
    <w:abstractNumId w:val="3"/>
  </w:num>
  <w:num w:numId="19">
    <w:abstractNumId w:val="28"/>
  </w:num>
  <w:num w:numId="20">
    <w:abstractNumId w:val="10"/>
  </w:num>
  <w:num w:numId="21">
    <w:abstractNumId w:val="18"/>
  </w:num>
  <w:num w:numId="22">
    <w:abstractNumId w:val="9"/>
  </w:num>
  <w:num w:numId="23">
    <w:abstractNumId w:val="17"/>
  </w:num>
  <w:num w:numId="24">
    <w:abstractNumId w:val="14"/>
  </w:num>
  <w:num w:numId="25">
    <w:abstractNumId w:val="8"/>
  </w:num>
  <w:num w:numId="26">
    <w:abstractNumId w:val="27"/>
  </w:num>
  <w:num w:numId="27">
    <w:abstractNumId w:val="7"/>
  </w:num>
  <w:num w:numId="28">
    <w:abstractNumId w:val="20"/>
  </w:num>
  <w:num w:numId="29">
    <w:abstractNumId w:val="5"/>
  </w:num>
  <w:num w:numId="30">
    <w:abstractNumId w:val="24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8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3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3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paragraph" w:styleId="681">
    <w:name w:val="Heading 1"/>
    <w:basedOn w:val="680"/>
    <w:link w:val="69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82">
    <w:name w:val="Heading 2"/>
    <w:basedOn w:val="680"/>
    <w:next w:val="680"/>
    <w:link w:val="700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80"/>
    <w:uiPriority w:val="34"/>
    <w:qFormat/>
    <w:pPr>
      <w:contextualSpacing/>
      <w:ind w:left="720"/>
      <w:spacing w:after="160" w:line="259" w:lineRule="auto"/>
    </w:pPr>
  </w:style>
  <w:style w:type="paragraph" w:styleId="688">
    <w:name w:val="Normal (Web)"/>
    <w:basedOn w:val="68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9">
    <w:name w:val="Balloon Text"/>
    <w:basedOn w:val="680"/>
    <w:link w:val="6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83"/>
    <w:link w:val="689"/>
    <w:uiPriority w:val="99"/>
    <w:semiHidden/>
    <w:rPr>
      <w:rFonts w:ascii="Tahoma" w:hAnsi="Tahoma" w:cs="Tahoma"/>
      <w:sz w:val="16"/>
      <w:szCs w:val="16"/>
    </w:rPr>
  </w:style>
  <w:style w:type="character" w:styleId="691">
    <w:name w:val="Strong"/>
    <w:basedOn w:val="683"/>
    <w:uiPriority w:val="22"/>
    <w:qFormat/>
    <w:rPr>
      <w:b/>
      <w:bCs/>
    </w:rPr>
  </w:style>
  <w:style w:type="table" w:styleId="692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3">
    <w:name w:val="Header"/>
    <w:basedOn w:val="680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694" w:customStyle="1">
    <w:name w:val="Верхний колонтитул Знак"/>
    <w:basedOn w:val="683"/>
    <w:link w:val="693"/>
    <w:uiPriority w:val="99"/>
    <w:rPr>
      <w:rFonts w:eastAsiaTheme="minorHAnsi"/>
      <w:lang w:eastAsia="en-US"/>
    </w:rPr>
  </w:style>
  <w:style w:type="numbering" w:styleId="695" w:customStyle="1">
    <w:name w:val="Импортированный стиль 1"/>
    <w:pPr>
      <w:numPr>
        <w:ilvl w:val="0"/>
        <w:numId w:val="7"/>
      </w:numPr>
    </w:pPr>
  </w:style>
  <w:style w:type="character" w:styleId="696" w:customStyle="1">
    <w:name w:val="Подпись к таблице"/>
    <w:basedOn w:val="6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231f20"/>
      <w:spacing w:val="0"/>
      <w:position w:val="0"/>
      <w:sz w:val="19"/>
      <w:szCs w:val="19"/>
      <w:u w:val="none"/>
      <w:lang w:val="ru-RU" w:eastAsia="ru-RU" w:bidi="ru-RU"/>
    </w:rPr>
  </w:style>
  <w:style w:type="character" w:styleId="697" w:customStyle="1">
    <w:name w:val="Основной текст (2)_"/>
    <w:basedOn w:val="683"/>
    <w:link w:val="698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698" w:customStyle="1">
    <w:name w:val="Основной текст (2)"/>
    <w:basedOn w:val="680"/>
    <w:link w:val="697"/>
    <w:pPr>
      <w:ind w:hanging="480"/>
      <w:jc w:val="center"/>
      <w:spacing w:after="240" w:line="18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7"/>
      <w:szCs w:val="17"/>
    </w:rPr>
  </w:style>
  <w:style w:type="character" w:styleId="699" w:customStyle="1">
    <w:name w:val="Заголовок 1 Знак"/>
    <w:basedOn w:val="683"/>
    <w:link w:val="681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00" w:customStyle="1">
    <w:name w:val="Заголовок 2 Знак"/>
    <w:basedOn w:val="683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.wikipedia.org/wiki/%D0%A9%D0%B8%D0%BA%D0%BE%D0%BB%D0%BE%D1%82%D0%BA%D0%B0" TargetMode="External"/><Relationship Id="rId10" Type="http://schemas.openxmlformats.org/officeDocument/2006/relationships/hyperlink" Target="http://www.elibrary.ru" TargetMode="External"/><Relationship Id="rId11" Type="http://schemas.openxmlformats.org/officeDocument/2006/relationships/hyperlink" Target="https://pubmed.ncbi.nlm.nih.gov/" TargetMode="Externa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9684223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revision>43</cp:revision>
  <dcterms:created xsi:type="dcterms:W3CDTF">2023-09-15T16:07:00Z</dcterms:created>
  <dcterms:modified xsi:type="dcterms:W3CDTF">2023-11-10T12:09:49Z</dcterms:modified>
</cp:coreProperties>
</file>