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распространенности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эндемического зоба 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bookmarkStart w:id="0" w:name="_GoBack"/>
      <w:r/>
      <w:bookmarkEnd w:id="0"/>
      <w:r/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 xml:space="preserve">Эндемический зоб — увеличение щитовидной железы, обусловленное дефицитом йода, у части населения, проживающего в определенном регионе.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36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По данным ВОЗ, в условиях дефицита I живут более 2 </w:t>
      </w:r>
      <w:r>
        <w:rPr>
          <w:rFonts w:ascii="Times New Roman" w:hAnsi="Times New Roman" w:cs="Times New Roman"/>
          <w:sz w:val="28"/>
        </w:rPr>
        <w:t xml:space="preserve">млрд</w:t>
      </w:r>
      <w:r>
        <w:rPr>
          <w:rFonts w:ascii="Times New Roman" w:hAnsi="Times New Roman" w:cs="Times New Roman"/>
          <w:sz w:val="28"/>
        </w:rPr>
        <w:t xml:space="preserve"> человек, среди них почти у 700 млн человек выявлен эндемический зоб. В Российской Федерации не существует территорий, на которых население не подвергалось бы риску развития </w:t>
      </w:r>
      <w:r>
        <w:rPr>
          <w:rFonts w:ascii="Times New Roman" w:hAnsi="Times New Roman" w:cs="Times New Roman"/>
          <w:sz w:val="28"/>
        </w:rPr>
        <w:t xml:space="preserve">иод</w:t>
      </w:r>
      <w:r>
        <w:rPr>
          <w:rFonts w:ascii="Times New Roman" w:hAnsi="Times New Roman" w:cs="Times New Roman"/>
          <w:sz w:val="28"/>
        </w:rPr>
        <w:t xml:space="preserve">-дефицитными заболеваниями (</w:t>
      </w:r>
      <w:r>
        <w:rPr>
          <w:rFonts w:ascii="Times New Roman" w:hAnsi="Times New Roman" w:cs="Times New Roman"/>
          <w:sz w:val="28"/>
        </w:rPr>
        <w:t xml:space="preserve">ЙДЗ</w:t>
      </w:r>
      <w:r>
        <w:rPr>
          <w:rFonts w:ascii="Times New Roman" w:hAnsi="Times New Roman" w:cs="Times New Roman"/>
          <w:sz w:val="28"/>
        </w:rPr>
        <w:t xml:space="preserve">)</w:t>
      </w:r>
      <w:r>
        <w:rPr>
          <w:rFonts w:ascii="Times New Roman" w:hAnsi="Times New Roman" w:cs="Times New Roman"/>
          <w:sz w:val="28"/>
        </w:rPr>
        <w:t xml:space="preserve">. Среднее потребление I населением РФ намного ниже рекомендуемого, и составляет 40-80 мкг в сутки. В эндемичных районах частота зоба у детей </w:t>
      </w:r>
      <w:r>
        <w:rPr>
          <w:rFonts w:ascii="Times New Roman" w:hAnsi="Times New Roman" w:cs="Times New Roman"/>
          <w:sz w:val="28"/>
        </w:rPr>
        <w:t xml:space="preserve">допубертатного</w:t>
      </w:r>
      <w:r>
        <w:rPr>
          <w:rFonts w:ascii="Times New Roman" w:hAnsi="Times New Roman" w:cs="Times New Roman"/>
          <w:sz w:val="28"/>
        </w:rPr>
        <w:t xml:space="preserve"> возраста превышает 5%. Распространенность диффузног</w:t>
      </w:r>
      <w:r>
        <w:rPr>
          <w:rFonts w:ascii="Times New Roman" w:hAnsi="Times New Roman" w:cs="Times New Roman"/>
          <w:sz w:val="28"/>
        </w:rPr>
        <w:t xml:space="preserve">о эндемического зоба в различных регионах России варьирует от 5,2 до 70% и в среднем по стране составляет 31%. ДНЗ преимущественно встречается у детей, подростков и лиц молодого возраста. Более чем в 50% случаев он развивается до 20-летнего возраста, приче</w:t>
      </w:r>
      <w:r>
        <w:rPr>
          <w:rFonts w:ascii="Times New Roman" w:hAnsi="Times New Roman" w:cs="Times New Roman"/>
          <w:sz w:val="28"/>
        </w:rPr>
        <w:t xml:space="preserve">м у женщин зоб развивается в 2–3 раза чаще, чем у мужчин. Как правило, риск развития ДНЗ многократно возрастает в те периоды, когда повышенная потребность в I (детский возраст, пубертатный период, беременность, кормление грудью) не восполняется адекватно. </w:t>
      </w:r>
      <w:r>
        <w:rPr>
          <w:rFonts w:ascii="Times New Roman" w:hAnsi="Times New Roman" w:cs="Times New Roman"/>
          <w:sz w:val="28"/>
        </w:rPr>
        <w:t xml:space="preserve">Нетоксический зоб небольших разме</w:t>
      </w:r>
      <w:r>
        <w:rPr>
          <w:rFonts w:ascii="Times New Roman" w:hAnsi="Times New Roman" w:cs="Times New Roman"/>
          <w:sz w:val="28"/>
        </w:rPr>
        <w:t xml:space="preserve">ров обычно протекает бессимптомно. Как правило, зоб является случайной находкой. В подавляющем большинстве случаев в условиях легкого и умеренного йодного дефицита небольшое увеличение щитовидной железы обнаруживают лишь при целенаправленном обследовании. </w:t>
      </w:r>
      <w:r>
        <w:rPr>
          <w:rFonts w:ascii="Times New Roman" w:hAnsi="Times New Roman" w:cs="Times New Roman"/>
          <w:sz w:val="28"/>
        </w:rPr>
        <w:t xml:space="preserve">При сборе анамнеза рекомендуется оценивать местные признаки (</w:t>
      </w:r>
      <w:r>
        <w:rPr>
          <w:rFonts w:ascii="Times New Roman" w:hAnsi="Times New Roman" w:cs="Times New Roman"/>
          <w:sz w:val="28"/>
          <w:szCs w:val="28"/>
        </w:rPr>
        <w:t xml:space="preserve">В связи с этим актуальной задачей является изучение частоты встречаемости </w:t>
      </w:r>
      <w:r>
        <w:rPr>
          <w:rFonts w:ascii="Times New Roman" w:hAnsi="Times New Roman" w:cs="Times New Roman"/>
          <w:sz w:val="28"/>
          <w:szCs w:val="28"/>
        </w:rPr>
        <w:t xml:space="preserve">эндемического зоба</w:t>
      </w:r>
      <w:r>
        <w:rPr>
          <w:rFonts w:ascii="Times New Roman" w:hAnsi="Times New Roman" w:cs="Times New Roman"/>
          <w:sz w:val="28"/>
          <w:szCs w:val="28"/>
        </w:rPr>
        <w:t xml:space="preserve"> у школьников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numPr>
          <w:ilvl w:val="0"/>
          <w:numId w:val="12"/>
        </w:numPr>
        <w:ind w:left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бзор актуальной отечественной и зарубежной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в библиографических базах (</w:t>
      </w:r>
      <w:hyperlink r:id="rId9" w:tooltip="http://www.elibrary.ru" w:history="1">
        <w:r>
          <w:rPr>
            <w:rStyle w:val="686"/>
            <w:rFonts w:ascii="Times New Roman" w:hAnsi="Times New Roman" w:cs="Times New Roman"/>
            <w:sz w:val="28"/>
            <w:szCs w:val="28"/>
          </w:rPr>
          <w:t xml:space="preserve">www.elibrary.ru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https://pubmed.ncbi.nlm.nih.gov/" w:history="1">
        <w:r>
          <w:rPr>
            <w:rStyle w:val="686"/>
            <w:rFonts w:ascii="Times New Roman" w:hAnsi="Times New Roman" w:cs="Times New Roman"/>
            <w:sz w:val="28"/>
            <w:szCs w:val="28"/>
          </w:rPr>
          <w:t xml:space="preserve">https://pubmed.ncbi.nlm.nih.gov/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numPr>
          <w:ilvl w:val="0"/>
          <w:numId w:val="12"/>
        </w:numPr>
        <w:ind w:left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>
        <w:rPr>
          <w:rFonts w:ascii="Times New Roman" w:hAnsi="Times New Roman" w:cs="Times New Roman"/>
          <w:sz w:val="28"/>
          <w:szCs w:val="28"/>
        </w:rPr>
        <w:t xml:space="preserve">НИР (цель, задачи, критерии включения в исследование, методы исследования)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numPr>
          <w:ilvl w:val="0"/>
          <w:numId w:val="12"/>
        </w:numPr>
        <w:ind w:left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исследования (выявление признаков</w:t>
      </w:r>
      <w:r>
        <w:rPr>
          <w:rFonts w:ascii="Times New Roman" w:hAnsi="Times New Roman" w:cs="Times New Roman"/>
          <w:sz w:val="28"/>
          <w:szCs w:val="28"/>
        </w:rPr>
        <w:t xml:space="preserve"> увеличения щитовидной железы</w:t>
      </w:r>
      <w:r>
        <w:rPr>
          <w:rFonts w:ascii="Times New Roman" w:hAnsi="Times New Roman" w:cs="Times New Roman"/>
          <w:sz w:val="28"/>
          <w:szCs w:val="28"/>
        </w:rPr>
        <w:t xml:space="preserve">, которые могут быть проявлением </w:t>
      </w:r>
      <w:r>
        <w:rPr>
          <w:rFonts w:ascii="Times New Roman" w:hAnsi="Times New Roman" w:cs="Times New Roman"/>
          <w:sz w:val="28"/>
          <w:szCs w:val="28"/>
        </w:rPr>
        <w:t xml:space="preserve">эндемического зоба</w:t>
      </w:r>
      <w:r>
        <w:rPr>
          <w:rFonts w:ascii="Times New Roman" w:hAnsi="Times New Roman" w:cs="Times New Roman"/>
          <w:sz w:val="28"/>
        </w:rPr>
        <w:t xml:space="preserve"> изменение голоса, дисфагия, признаки нарушения функции ЩЖ</w:t>
      </w:r>
      <w:r>
        <w:rPr>
          <w:rFonts w:ascii="Times New Roman" w:hAnsi="Times New Roman" w:cs="Times New Roman"/>
          <w:sz w:val="28"/>
        </w:rPr>
        <w:t xml:space="preserve"> – сердцебиение, снижение веса;</w:t>
      </w:r>
      <w:r>
        <w:rPr>
          <w:rFonts w:ascii="Times New Roman" w:hAnsi="Times New Roman" w:cs="Times New Roman"/>
          <w:sz w:val="28"/>
        </w:rPr>
        <w:t xml:space="preserve"> семейный анамнез</w:t>
      </w:r>
      <w:r>
        <w:rPr>
          <w:rFonts w:ascii="Times New Roman" w:hAnsi="Times New Roman" w:cs="Times New Roman"/>
          <w:sz w:val="28"/>
        </w:rPr>
        <w:t xml:space="preserve"> заболеваний щитовидной железы)</w:t>
      </w:r>
      <w:r>
        <w:rPr>
          <w:rFonts w:ascii="Times New Roman" w:hAnsi="Times New Roman" w:cs="Times New Roman"/>
          <w:sz w:val="36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numPr>
          <w:ilvl w:val="0"/>
          <w:numId w:val="12"/>
        </w:numPr>
        <w:ind w:left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</w:t>
      </w:r>
      <w:r>
        <w:rPr>
          <w:rFonts w:ascii="Times New Roman" w:hAnsi="Times New Roman"/>
          <w:sz w:val="28"/>
          <w:szCs w:val="28"/>
        </w:rPr>
        <w:t xml:space="preserve">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наличие</w:t>
      </w:r>
      <w:r>
        <w:rPr>
          <w:rFonts w:ascii="Times New Roman" w:hAnsi="Times New Roman"/>
          <w:sz w:val="28"/>
          <w:szCs w:val="28"/>
        </w:rPr>
        <w:t xml:space="preserve"> факторов риска развития </w:t>
      </w:r>
      <w:r>
        <w:rPr>
          <w:rFonts w:ascii="Times New Roman" w:hAnsi="Times New Roman"/>
          <w:sz w:val="28"/>
          <w:szCs w:val="28"/>
        </w:rPr>
        <w:t xml:space="preserve">эндемического зоба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</w:t>
      </w:r>
      <w:r>
        <w:rPr>
          <w:rFonts w:ascii="Times New Roman" w:hAnsi="Times New Roman" w:cs="Times New Roman"/>
          <w:sz w:val="28"/>
        </w:rPr>
        <w:t xml:space="preserve">проживание в условиях йодного дефицита</w:t>
      </w:r>
      <w:r>
        <w:rPr>
          <w:rFonts w:ascii="Times New Roman" w:hAnsi="Times New Roman" w:cs="Times New Roman"/>
          <w:sz w:val="36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numPr>
          <w:ilvl w:val="0"/>
          <w:numId w:val="12"/>
        </w:numPr>
        <w:ind w:left="42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сформулировать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рекомендации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изменению образа жизни, направленные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коррекци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эндемического зоба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7"/>
        <w:ind w:left="426" w:hanging="36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Статьи, материалы для подготовки: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numPr>
          <w:ilvl w:val="0"/>
          <w:numId w:val="32"/>
        </w:numPr>
        <w:ind w:left="360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Платонова Н.М. Йодный дефицит: современное состояние проблемы. Клиническая и экспериментальная </w:t>
      </w:r>
      <w:r>
        <w:rPr>
          <w:rFonts w:ascii="Times New Roman" w:hAnsi="Times New Roman" w:cs="Times New Roman"/>
          <w:sz w:val="28"/>
        </w:rPr>
        <w:t xml:space="preserve">тиреоидология</w:t>
      </w:r>
      <w:r>
        <w:rPr>
          <w:rFonts w:ascii="Times New Roman" w:hAnsi="Times New Roman" w:cs="Times New Roman"/>
          <w:sz w:val="28"/>
        </w:rPr>
        <w:t xml:space="preserve">. 2015; 11(1):12-21.</w:t>
      </w:r>
      <w:r>
        <w:rPr>
          <w:rFonts w:ascii="Times New Roman" w:hAnsi="Times New Roman" w:cs="Times New Roman"/>
          <w:sz w:val="28"/>
        </w:rPr>
      </w:r>
    </w:p>
    <w:p>
      <w:pPr>
        <w:pStyle w:val="687"/>
        <w:numPr>
          <w:ilvl w:val="0"/>
          <w:numId w:val="32"/>
        </w:numPr>
        <w:ind w:left="360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Трошина</w:t>
      </w:r>
      <w:r>
        <w:rPr>
          <w:rFonts w:ascii="Times New Roman" w:hAnsi="Times New Roman" w:cs="Times New Roman"/>
          <w:sz w:val="28"/>
        </w:rPr>
        <w:t xml:space="preserve"> Е.А. Диффузный </w:t>
      </w:r>
      <w:r>
        <w:rPr>
          <w:rFonts w:ascii="Times New Roman" w:hAnsi="Times New Roman" w:cs="Times New Roman"/>
          <w:sz w:val="28"/>
        </w:rPr>
        <w:t xml:space="preserve">эутиреоидный</w:t>
      </w:r>
      <w:r>
        <w:rPr>
          <w:rFonts w:ascii="Times New Roman" w:hAnsi="Times New Roman" w:cs="Times New Roman"/>
          <w:sz w:val="28"/>
        </w:rPr>
        <w:t xml:space="preserve"> зоб. Алгоритмы лечения и профилактика препаратами йода. Лекция. Проблемы эндокринологии. 2014; 60(5):49-56.</w:t>
      </w:r>
      <w:r>
        <w:rPr>
          <w:rFonts w:ascii="Times New Roman" w:hAnsi="Times New Roman" w:cs="Times New Roman"/>
          <w:sz w:val="28"/>
        </w:rPr>
      </w:r>
    </w:p>
    <w:p>
      <w:pPr>
        <w:pStyle w:val="687"/>
        <w:numPr>
          <w:ilvl w:val="0"/>
          <w:numId w:val="32"/>
        </w:numPr>
        <w:ind w:left="360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13. Трошина Е.А., Платонова Н.М., Панфилова Е.А., Панфилов К.О. Аналитический обзор результатов мониторинга основных эпидемиологических характеристик </w:t>
      </w:r>
      <w:r>
        <w:rPr>
          <w:rFonts w:ascii="Times New Roman" w:hAnsi="Times New Roman" w:cs="Times New Roman"/>
          <w:sz w:val="28"/>
        </w:rPr>
        <w:t xml:space="preserve">йододефицитных</w:t>
      </w:r>
      <w:r>
        <w:rPr>
          <w:rFonts w:ascii="Times New Roman" w:hAnsi="Times New Roman" w:cs="Times New Roman"/>
          <w:sz w:val="28"/>
        </w:rPr>
        <w:t xml:space="preserve"> заболеваний у населения Российской Федерации за период 2009—2015 гг. Проблемы эндокринологии. 2018; 64(1):21-37. </w:t>
      </w:r>
      <w:r>
        <w:rPr>
          <w:rFonts w:ascii="Times New Roman" w:hAnsi="Times New Roman" w:cs="Times New Roman"/>
          <w:sz w:val="28"/>
        </w:rPr>
        <w:t xml:space="preserve">doi</w:t>
      </w:r>
      <w:r>
        <w:rPr>
          <w:rFonts w:ascii="Times New Roman" w:hAnsi="Times New Roman" w:cs="Times New Roman"/>
          <w:sz w:val="28"/>
        </w:rPr>
        <w:t xml:space="preserve">: 10.14341/probl9308</w:t>
      </w:r>
      <w:r>
        <w:rPr>
          <w:rFonts w:ascii="Times New Roman" w:hAnsi="Times New Roman" w:cs="Times New Roman"/>
          <w:sz w:val="28"/>
        </w:rPr>
      </w:r>
    </w:p>
    <w:p>
      <w:pPr>
        <w:pStyle w:val="687"/>
        <w:numPr>
          <w:ilvl w:val="0"/>
          <w:numId w:val="32"/>
        </w:numPr>
        <w:ind w:left="360"/>
        <w:jc w:val="both"/>
        <w:spacing w:after="0" w:line="240" w:lineRule="auto"/>
        <w:rPr>
          <w:rFonts w:ascii="Times New Roman" w:hAnsi="Times New Roman" w:eastAsia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 xml:space="preserve">Трошина Е.А. Зоб. </w:t>
      </w:r>
      <w:r>
        <w:rPr>
          <w:rFonts w:ascii="Times New Roman" w:hAnsi="Times New Roman" w:cs="Times New Roman"/>
          <w:sz w:val="28"/>
        </w:rPr>
        <w:t xml:space="preserve">-М</w:t>
      </w:r>
      <w:r>
        <w:rPr>
          <w:rFonts w:ascii="Times New Roman" w:hAnsi="Times New Roman" w:cs="Times New Roman"/>
          <w:sz w:val="28"/>
        </w:rPr>
        <w:t xml:space="preserve">.: Медицинское информационное агентство, 2012</w:t>
      </w:r>
      <w:r>
        <w:rPr>
          <w:rFonts w:ascii="Times New Roman" w:hAnsi="Times New Roman" w:eastAsia="Times New Roman" w:cs="Times New Roman"/>
          <w:sz w:val="36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36"/>
          <w:szCs w:val="28"/>
        </w:rPr>
      </w:pPr>
      <w:r>
        <w:rPr>
          <w:rFonts w:ascii="Times New Roman" w:hAnsi="Times New Roman" w:eastAsia="Times New Roman" w:cs="Times New Roman"/>
          <w:sz w:val="36"/>
          <w:szCs w:val="28"/>
        </w:rPr>
      </w:r>
      <w:r>
        <w:rPr>
          <w:rFonts w:ascii="Times New Roman" w:hAnsi="Times New Roman" w:eastAsia="Times New Roman" w:cs="Times New Roman"/>
          <w:sz w:val="36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36"/>
          <w:szCs w:val="28"/>
        </w:rPr>
      </w:pPr>
      <w:r>
        <w:rPr>
          <w:rFonts w:ascii="Times New Roman" w:hAnsi="Times New Roman" w:eastAsia="Times New Roman" w:cs="Times New Roman"/>
          <w:sz w:val="36"/>
          <w:szCs w:val="28"/>
        </w:rPr>
      </w:r>
      <w:r>
        <w:rPr>
          <w:rFonts w:ascii="Times New Roman" w:hAnsi="Times New Roman" w:eastAsia="Times New Roman" w:cs="Times New Roman"/>
          <w:sz w:val="36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36"/>
          <w:szCs w:val="28"/>
        </w:rPr>
      </w:pPr>
      <w:r>
        <w:rPr>
          <w:rFonts w:ascii="Times New Roman" w:hAnsi="Times New Roman" w:eastAsia="Times New Roman" w:cs="Times New Roman"/>
          <w:sz w:val="36"/>
          <w:szCs w:val="28"/>
        </w:rPr>
      </w:r>
      <w:r>
        <w:rPr>
          <w:rFonts w:ascii="Times New Roman" w:hAnsi="Times New Roman" w:eastAsia="Times New Roman" w:cs="Times New Roman"/>
          <w:sz w:val="36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36"/>
          <w:szCs w:val="28"/>
        </w:rPr>
      </w:pPr>
      <w:r>
        <w:rPr>
          <w:rFonts w:ascii="Times New Roman" w:hAnsi="Times New Roman" w:eastAsia="Times New Roman" w:cs="Times New Roman"/>
          <w:sz w:val="36"/>
          <w:szCs w:val="28"/>
        </w:rPr>
      </w:r>
      <w:r>
        <w:rPr>
          <w:rFonts w:ascii="Times New Roman" w:hAnsi="Times New Roman" w:eastAsia="Times New Roman" w:cs="Times New Roman"/>
          <w:sz w:val="36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993" w:right="567" w:bottom="993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 Unicode MS">
    <w:panose1 w:val="020B06060202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7" w:firstLine="2"/>
        <w:tabs>
          <w:tab w:val="num" w:pos="1416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isLgl w:val="false"/>
      <w:suff w:val="tab"/>
      <w:lvlText w:val="%2."/>
      <w:lvlJc w:val="left"/>
      <w:pPr>
        <w:ind w:left="720" w:firstLine="14"/>
        <w:tabs>
          <w:tab w:val="num" w:pos="142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isLgl w:val="false"/>
      <w:suff w:val="tab"/>
      <w:lvlText w:val="%3."/>
      <w:lvlJc w:val="left"/>
      <w:pPr>
        <w:ind w:left="1440" w:firstLine="101"/>
        <w:tabs>
          <w:tab w:val="num" w:pos="214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 w:val="false"/>
      <w:suff w:val="tab"/>
      <w:lvlText w:val="%4."/>
      <w:lvlJc w:val="left"/>
      <w:pPr>
        <w:ind w:left="2160" w:firstLine="38"/>
        <w:tabs>
          <w:tab w:val="num" w:pos="286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isLgl w:val="false"/>
      <w:suff w:val="tab"/>
      <w:lvlText w:val="%5."/>
      <w:lvlJc w:val="left"/>
      <w:pPr>
        <w:ind w:left="2880" w:firstLine="50"/>
        <w:tabs>
          <w:tab w:val="num" w:pos="358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isLgl w:val="false"/>
      <w:suff w:val="tab"/>
      <w:lvlText w:val="%6."/>
      <w:lvlJc w:val="left"/>
      <w:pPr>
        <w:ind w:left="3600" w:firstLine="137"/>
        <w:tabs>
          <w:tab w:val="num" w:pos="430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 w:val="false"/>
      <w:suff w:val="tab"/>
      <w:lvlText w:val="%7."/>
      <w:lvlJc w:val="left"/>
      <w:pPr>
        <w:ind w:left="4320" w:firstLine="74"/>
        <w:tabs>
          <w:tab w:val="num" w:pos="502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isLgl w:val="false"/>
      <w:suff w:val="tab"/>
      <w:lvlText w:val="%8."/>
      <w:lvlJc w:val="left"/>
      <w:pPr>
        <w:ind w:left="5040" w:firstLine="86"/>
        <w:tabs>
          <w:tab w:val="num" w:pos="574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isLgl w:val="false"/>
      <w:suff w:val="tab"/>
      <w:lvlText w:val="%9."/>
      <w:lvlJc w:val="left"/>
      <w:pPr>
        <w:ind w:left="5760" w:firstLine="173"/>
        <w:tabs>
          <w:tab w:val="num" w:pos="646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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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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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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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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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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Theme="minorHAnsi" w:hAnsiTheme="minorHAnsi" w:cstheme="minorBidi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9">
    <w:multiLevelType w:val="hybridMultilevel"/>
    <w:numStyleLink w:val="695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65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37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9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1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3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5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7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9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14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styleLink w:val="695"/>
    <w:lvl w:ilvl="0">
      <w:start w:val="1"/>
      <w:numFmt w:val="decimal"/>
      <w:pStyle w:val="695"/>
      <w:isLgl w:val="false"/>
      <w:suff w:val="tab"/>
      <w:lvlText w:val="%1."/>
      <w:lvlJc w:val="left"/>
      <w:pPr>
        <w:ind w:left="707" w:firstLine="2"/>
        <w:tabs>
          <w:tab w:val="num" w:pos="1416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isLgl w:val="false"/>
      <w:suff w:val="tab"/>
      <w:lvlText w:val="%2."/>
      <w:lvlJc w:val="left"/>
      <w:pPr>
        <w:ind w:left="720" w:firstLine="14"/>
        <w:tabs>
          <w:tab w:val="num" w:pos="142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isLgl w:val="false"/>
      <w:suff w:val="tab"/>
      <w:lvlText w:val="%3."/>
      <w:lvlJc w:val="left"/>
      <w:pPr>
        <w:ind w:left="1440" w:firstLine="101"/>
        <w:tabs>
          <w:tab w:val="num" w:pos="214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 w:val="false"/>
      <w:suff w:val="tab"/>
      <w:lvlText w:val="%4."/>
      <w:lvlJc w:val="left"/>
      <w:pPr>
        <w:ind w:left="2160" w:firstLine="38"/>
        <w:tabs>
          <w:tab w:val="num" w:pos="286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isLgl w:val="false"/>
      <w:suff w:val="tab"/>
      <w:lvlText w:val="%5."/>
      <w:lvlJc w:val="left"/>
      <w:pPr>
        <w:ind w:left="2880" w:firstLine="50"/>
        <w:tabs>
          <w:tab w:val="num" w:pos="358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isLgl w:val="false"/>
      <w:suff w:val="tab"/>
      <w:lvlText w:val="%6."/>
      <w:lvlJc w:val="left"/>
      <w:pPr>
        <w:ind w:left="3600" w:firstLine="137"/>
        <w:tabs>
          <w:tab w:val="num" w:pos="430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 w:val="false"/>
      <w:suff w:val="tab"/>
      <w:lvlText w:val="%7."/>
      <w:lvlJc w:val="left"/>
      <w:pPr>
        <w:ind w:left="4320" w:firstLine="74"/>
        <w:tabs>
          <w:tab w:val="num" w:pos="502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isLgl w:val="false"/>
      <w:suff w:val="tab"/>
      <w:lvlText w:val="%8."/>
      <w:lvlJc w:val="left"/>
      <w:pPr>
        <w:ind w:left="5040" w:firstLine="86"/>
        <w:tabs>
          <w:tab w:val="num" w:pos="574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isLgl w:val="false"/>
      <w:suff w:val="tab"/>
      <w:lvlText w:val="%9."/>
      <w:lvlJc w:val="left"/>
      <w:pPr>
        <w:ind w:left="5760" w:firstLine="173"/>
        <w:tabs>
          <w:tab w:val="num" w:pos="6469" w:leader="none"/>
        </w:tabs>
      </w:pPr>
      <w:rPr>
        <w:rFonts w:hAnsi="Arial Unicode MS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30"/>
  </w:num>
  <w:num w:numId="5">
    <w:abstractNumId w:val="13"/>
  </w:num>
  <w:num w:numId="6">
    <w:abstractNumId w:val="2"/>
  </w:num>
  <w:num w:numId="7">
    <w:abstractNumId w:val="26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"/>
  </w:num>
  <w:num w:numId="11">
    <w:abstractNumId w:val="25"/>
  </w:num>
  <w:num w:numId="12">
    <w:abstractNumId w:val="23"/>
  </w:num>
  <w:num w:numId="13">
    <w:abstractNumId w:val="15"/>
  </w:num>
  <w:num w:numId="14">
    <w:abstractNumId w:val="22"/>
  </w:num>
  <w:num w:numId="15">
    <w:abstractNumId w:val="11"/>
  </w:num>
  <w:num w:numId="16">
    <w:abstractNumId w:val="6"/>
  </w:num>
  <w:num w:numId="17">
    <w:abstractNumId w:val="21"/>
  </w:num>
  <w:num w:numId="18">
    <w:abstractNumId w:val="3"/>
  </w:num>
  <w:num w:numId="19">
    <w:abstractNumId w:val="28"/>
  </w:num>
  <w:num w:numId="20">
    <w:abstractNumId w:val="10"/>
  </w:num>
  <w:num w:numId="21">
    <w:abstractNumId w:val="18"/>
  </w:num>
  <w:num w:numId="22">
    <w:abstractNumId w:val="9"/>
  </w:num>
  <w:num w:numId="23">
    <w:abstractNumId w:val="17"/>
  </w:num>
  <w:num w:numId="24">
    <w:abstractNumId w:val="14"/>
  </w:num>
  <w:num w:numId="25">
    <w:abstractNumId w:val="8"/>
  </w:num>
  <w:num w:numId="26">
    <w:abstractNumId w:val="27"/>
  </w:num>
  <w:num w:numId="27">
    <w:abstractNumId w:val="7"/>
  </w:num>
  <w:num w:numId="28">
    <w:abstractNumId w:val="20"/>
  </w:num>
  <w:num w:numId="29">
    <w:abstractNumId w:val="5"/>
  </w:num>
  <w:num w:numId="30">
    <w:abstractNumId w:val="24"/>
  </w:num>
  <w:num w:numId="31">
    <w:abstractNumId w:val="1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3"/>
    <w:link w:val="68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3"/>
    <w:link w:val="682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0"/>
    <w:next w:val="68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0"/>
    <w:next w:val="68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0"/>
    <w:next w:val="68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0"/>
    <w:next w:val="68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0"/>
    <w:next w:val="68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0"/>
    <w:next w:val="68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0"/>
    <w:next w:val="68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0"/>
    <w:next w:val="68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3"/>
    <w:link w:val="34"/>
    <w:uiPriority w:val="10"/>
    <w:rPr>
      <w:sz w:val="48"/>
      <w:szCs w:val="48"/>
    </w:rPr>
  </w:style>
  <w:style w:type="paragraph" w:styleId="36">
    <w:name w:val="Subtitle"/>
    <w:basedOn w:val="680"/>
    <w:next w:val="68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3"/>
    <w:link w:val="36"/>
    <w:uiPriority w:val="11"/>
    <w:rPr>
      <w:sz w:val="24"/>
      <w:szCs w:val="24"/>
    </w:rPr>
  </w:style>
  <w:style w:type="paragraph" w:styleId="38">
    <w:name w:val="Quote"/>
    <w:basedOn w:val="680"/>
    <w:next w:val="68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0"/>
    <w:next w:val="68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3"/>
    <w:link w:val="693"/>
    <w:uiPriority w:val="99"/>
  </w:style>
  <w:style w:type="paragraph" w:styleId="44">
    <w:name w:val="Footer"/>
    <w:basedOn w:val="68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83"/>
    <w:link w:val="44"/>
    <w:uiPriority w:val="99"/>
  </w:style>
  <w:style w:type="paragraph" w:styleId="46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3"/>
    <w:uiPriority w:val="99"/>
    <w:unhideWhenUsed/>
    <w:rPr>
      <w:vertAlign w:val="superscript"/>
    </w:rPr>
  </w:style>
  <w:style w:type="paragraph" w:styleId="178">
    <w:name w:val="endnote text"/>
    <w:basedOn w:val="68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3"/>
    <w:uiPriority w:val="99"/>
    <w:semiHidden/>
    <w:unhideWhenUsed/>
    <w:rPr>
      <w:vertAlign w:val="superscript"/>
    </w:rPr>
  </w:style>
  <w:style w:type="paragraph" w:styleId="181">
    <w:name w:val="toc 1"/>
    <w:basedOn w:val="680"/>
    <w:next w:val="68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0"/>
    <w:next w:val="68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0"/>
    <w:next w:val="68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0"/>
    <w:next w:val="68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0"/>
    <w:next w:val="68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0"/>
    <w:next w:val="68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0"/>
    <w:next w:val="68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0"/>
    <w:next w:val="68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0"/>
    <w:next w:val="68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0"/>
    <w:next w:val="680"/>
    <w:uiPriority w:val="99"/>
    <w:unhideWhenUsed/>
    <w:pPr>
      <w:spacing w:after="0" w:afterAutospacing="0"/>
    </w:pPr>
  </w:style>
  <w:style w:type="paragraph" w:styleId="680" w:default="1">
    <w:name w:val="Normal"/>
    <w:qFormat/>
  </w:style>
  <w:style w:type="paragraph" w:styleId="681">
    <w:name w:val="Heading 1"/>
    <w:basedOn w:val="680"/>
    <w:link w:val="699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682">
    <w:name w:val="Heading 2"/>
    <w:basedOn w:val="680"/>
    <w:next w:val="680"/>
    <w:link w:val="700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>
    <w:name w:val="Hyperlink"/>
    <w:basedOn w:val="683"/>
    <w:uiPriority w:val="99"/>
    <w:unhideWhenUsed/>
    <w:rPr>
      <w:color w:val="0000ff" w:themeColor="hyperlink"/>
      <w:u w:val="single"/>
    </w:rPr>
  </w:style>
  <w:style w:type="paragraph" w:styleId="687">
    <w:name w:val="List Paragraph"/>
    <w:basedOn w:val="680"/>
    <w:uiPriority w:val="34"/>
    <w:qFormat/>
    <w:pPr>
      <w:contextualSpacing/>
      <w:ind w:left="720"/>
      <w:spacing w:after="160" w:line="259" w:lineRule="auto"/>
    </w:pPr>
  </w:style>
  <w:style w:type="paragraph" w:styleId="688">
    <w:name w:val="Normal (Web)"/>
    <w:basedOn w:val="680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89">
    <w:name w:val="Balloon Text"/>
    <w:basedOn w:val="680"/>
    <w:link w:val="69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0" w:customStyle="1">
    <w:name w:val="Текст выноски Знак"/>
    <w:basedOn w:val="683"/>
    <w:link w:val="689"/>
    <w:uiPriority w:val="99"/>
    <w:semiHidden/>
    <w:rPr>
      <w:rFonts w:ascii="Tahoma" w:hAnsi="Tahoma" w:cs="Tahoma"/>
      <w:sz w:val="16"/>
      <w:szCs w:val="16"/>
    </w:rPr>
  </w:style>
  <w:style w:type="character" w:styleId="691">
    <w:name w:val="Strong"/>
    <w:basedOn w:val="683"/>
    <w:uiPriority w:val="22"/>
    <w:qFormat/>
    <w:rPr>
      <w:b/>
      <w:bCs/>
    </w:rPr>
  </w:style>
  <w:style w:type="table" w:styleId="692">
    <w:name w:val="Table Grid"/>
    <w:basedOn w:val="6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93">
    <w:name w:val="Header"/>
    <w:basedOn w:val="680"/>
    <w:link w:val="69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Theme="minorHAnsi"/>
      <w:lang w:eastAsia="en-US"/>
    </w:rPr>
  </w:style>
  <w:style w:type="character" w:styleId="694" w:customStyle="1">
    <w:name w:val="Верхний колонтитул Знак"/>
    <w:basedOn w:val="683"/>
    <w:link w:val="693"/>
    <w:uiPriority w:val="99"/>
    <w:rPr>
      <w:rFonts w:eastAsiaTheme="minorHAnsi"/>
      <w:lang w:eastAsia="en-US"/>
    </w:rPr>
  </w:style>
  <w:style w:type="numbering" w:styleId="695" w:customStyle="1">
    <w:name w:val="Импортированный стиль 1"/>
    <w:pPr>
      <w:numPr>
        <w:ilvl w:val="0"/>
        <w:numId w:val="7"/>
      </w:numPr>
    </w:pPr>
  </w:style>
  <w:style w:type="character" w:styleId="696" w:customStyle="1">
    <w:name w:val="Подпись к таблице"/>
    <w:basedOn w:val="68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231f20"/>
      <w:spacing w:val="0"/>
      <w:position w:val="0"/>
      <w:sz w:val="19"/>
      <w:szCs w:val="19"/>
      <w:u w:val="none"/>
      <w:lang w:val="ru-RU" w:eastAsia="ru-RU" w:bidi="ru-RU"/>
    </w:rPr>
  </w:style>
  <w:style w:type="character" w:styleId="697" w:customStyle="1">
    <w:name w:val="Основной текст (2)_"/>
    <w:basedOn w:val="683"/>
    <w:link w:val="698"/>
    <w:rPr>
      <w:rFonts w:ascii="Times New Roman" w:hAnsi="Times New Roman" w:eastAsia="Times New Roman" w:cs="Times New Roman"/>
      <w:sz w:val="17"/>
      <w:szCs w:val="17"/>
      <w:shd w:val="clear" w:color="auto" w:fill="ffffff"/>
    </w:rPr>
  </w:style>
  <w:style w:type="paragraph" w:styleId="698" w:customStyle="1">
    <w:name w:val="Основной текст (2)"/>
    <w:basedOn w:val="680"/>
    <w:link w:val="697"/>
    <w:pPr>
      <w:ind w:hanging="480"/>
      <w:jc w:val="center"/>
      <w:spacing w:after="240" w:line="188" w:lineRule="exact"/>
      <w:shd w:val="clear" w:color="auto" w:fill="ffffff"/>
      <w:widowControl w:val="off"/>
    </w:pPr>
    <w:rPr>
      <w:rFonts w:ascii="Times New Roman" w:hAnsi="Times New Roman" w:eastAsia="Times New Roman" w:cs="Times New Roman"/>
      <w:sz w:val="17"/>
      <w:szCs w:val="17"/>
    </w:rPr>
  </w:style>
  <w:style w:type="character" w:styleId="699" w:customStyle="1">
    <w:name w:val="Заголовок 1 Знак"/>
    <w:basedOn w:val="683"/>
    <w:link w:val="681"/>
    <w:uiPriority w:val="9"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700" w:customStyle="1">
    <w:name w:val="Заголовок 2 Знак"/>
    <w:basedOn w:val="683"/>
    <w:link w:val="682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www.elibrary.ru" TargetMode="External"/><Relationship Id="rId10" Type="http://schemas.openxmlformats.org/officeDocument/2006/relationships/hyperlink" Target="https://pubmed.ncbi.nlm.nih.gov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diakov.net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revision>43</cp:revision>
  <dcterms:created xsi:type="dcterms:W3CDTF">2023-09-15T16:07:00Z</dcterms:created>
  <dcterms:modified xsi:type="dcterms:W3CDTF">2023-11-10T12:10:05Z</dcterms:modified>
</cp:coreProperties>
</file>